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79" w:lineRule="exact"/>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pStyle w:val="2"/>
        <w:spacing w:before="0" w:after="0" w:line="579" w:lineRule="exact"/>
        <w:rPr>
          <w:rFonts w:hint="eastAsia"/>
        </w:rPr>
      </w:pPr>
    </w:p>
    <w:p>
      <w:pPr>
        <w:overflowPunct w:val="0"/>
        <w:topLinePunct/>
        <w:spacing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负面</w:t>
      </w:r>
      <w:bookmarkStart w:id="0" w:name="_GoBack"/>
      <w:bookmarkEnd w:id="0"/>
      <w:r>
        <w:rPr>
          <w:rFonts w:hint="eastAsia" w:ascii="方正小标宋简体" w:hAnsi="方正小标宋简体" w:eastAsia="方正小标宋简体" w:cs="方正小标宋简体"/>
          <w:sz w:val="44"/>
          <w:szCs w:val="44"/>
        </w:rPr>
        <w:t>案例</w:t>
      </w:r>
    </w:p>
    <w:p>
      <w:pPr>
        <w:pStyle w:val="2"/>
        <w:spacing w:before="0" w:after="0" w:line="579" w:lineRule="exact"/>
      </w:pPr>
    </w:p>
    <w:p>
      <w:pPr>
        <w:overflowPunct w:val="0"/>
        <w:topLinePunct/>
        <w:spacing w:line="579" w:lineRule="exact"/>
        <w:ind w:firstLine="642" w:firstLineChars="200"/>
        <w:rPr>
          <w:rFonts w:ascii="楷体" w:hAnsi="楷体" w:eastAsia="楷体" w:cs="Times New Roman"/>
          <w:b/>
          <w:shd w:val="clear" w:color="auto" w:fill="FFFFFF"/>
        </w:rPr>
      </w:pPr>
      <w:r>
        <w:rPr>
          <w:rFonts w:hint="eastAsia" w:ascii="楷体" w:hAnsi="楷体" w:eastAsia="楷体" w:cs="方正楷体_GB2312"/>
          <w:b/>
          <w:bCs/>
        </w:rPr>
        <w:t>1.玺悦湾二期三标段、四标段（18#、19#）。</w:t>
      </w:r>
      <w:r>
        <w:rPr>
          <w:rFonts w:hint="eastAsia" w:ascii="楷体" w:hAnsi="楷体" w:eastAsia="楷体" w:cs="Times New Roman"/>
          <w:b/>
          <w:shd w:val="clear" w:color="auto" w:fill="FFFFFF"/>
        </w:rPr>
        <w:t>建设单位为吴忠市恒昌房地产开发有限公司，施工单位为宁夏浩旺建筑安装工程有限公司，监理单位为吴忠市建设监理有限责任公司。</w:t>
      </w:r>
    </w:p>
    <w:p>
      <w:pPr>
        <w:spacing w:line="579" w:lineRule="exact"/>
        <w:ind w:firstLine="642" w:firstLineChars="200"/>
        <w:rPr>
          <w:rFonts w:ascii="Times New Roman" w:hAnsi="Times New Roman" w:eastAsia="仿宋_GB2312" w:cs="Times New Roman"/>
          <w:shd w:val="clear" w:color="auto" w:fill="FFFFFF"/>
        </w:rPr>
      </w:pPr>
      <w:r>
        <w:rPr>
          <w:rFonts w:hint="eastAsia" w:ascii="方正楷体_GB2312" w:hAnsi="方正楷体_GB2312" w:eastAsia="方正楷体_GB2312" w:cs="方正楷体_GB2312"/>
          <w:b/>
          <w:bCs/>
        </w:rPr>
        <w:t>主要违法违规行为：</w:t>
      </w:r>
      <w:r>
        <w:rPr>
          <w:rFonts w:hint="eastAsia" w:ascii="Times New Roman" w:hAnsi="Times New Roman" w:eastAsia="仿宋_GB2312" w:cs="Times New Roman"/>
          <w:shd w:val="clear" w:color="auto" w:fill="FFFFFF"/>
        </w:rPr>
        <w:t>防水分包相关资料管理混乱，钢材、商砼、模板等主要材料相关资料管理混乱。18#楼西单元12层西户，模板支架个别部位顶托螺杆外露长度大于20cm，且存在偏心承载，不符合JGJ162-2008中第6.1.9条第2款规定；模板支架立柱纵横间距现场实测1.2米，其余部位0.9米，与方案不符。18#楼卸料平台专项方案与《危大工程方案编制指南》编制目录及相关内容不符，缺少大部分规定内容，存在严重缺陷。</w:t>
      </w:r>
    </w:p>
    <w:p>
      <w:pPr>
        <w:overflowPunct w:val="0"/>
        <w:topLinePunct/>
        <w:spacing w:line="579" w:lineRule="exact"/>
        <w:ind w:firstLine="642" w:firstLineChars="200"/>
        <w:rPr>
          <w:rFonts w:ascii="楷体" w:hAnsi="楷体" w:eastAsia="楷体" w:cs="Times New Roman"/>
          <w:b/>
          <w:shd w:val="clear" w:color="auto" w:fill="FFFFFF"/>
        </w:rPr>
      </w:pPr>
      <w:r>
        <w:rPr>
          <w:rFonts w:hint="eastAsia" w:ascii="楷体" w:hAnsi="楷体" w:eastAsia="楷体" w:cs="方正楷体_GB2312"/>
          <w:b/>
          <w:bCs/>
        </w:rPr>
        <w:t>2.吉泰璟樾11#、19#住宅楼项目 。</w:t>
      </w:r>
      <w:r>
        <w:rPr>
          <w:rFonts w:hint="eastAsia" w:ascii="楷体" w:hAnsi="楷体" w:eastAsia="楷体" w:cs="Times New Roman"/>
          <w:b/>
          <w:shd w:val="clear" w:color="auto" w:fill="FFFFFF"/>
        </w:rPr>
        <w:t>建设单位为宁夏耀宸房地产开发有限公司，施工单位为宁夏盛嘉泰建设工程有限公司，监理单位为宁夏驰迅工程建设监理有限责任公司。</w:t>
      </w:r>
    </w:p>
    <w:p>
      <w:pPr>
        <w:overflowPunct w:val="0"/>
        <w:topLinePunct/>
        <w:spacing w:line="579" w:lineRule="exact"/>
        <w:ind w:firstLine="642" w:firstLineChars="200"/>
        <w:rPr>
          <w:rFonts w:ascii="Times New Roman" w:hAnsi="Times New Roman" w:eastAsia="仿宋_GB2312" w:cs="Times New Roman"/>
          <w:shd w:val="clear" w:color="auto" w:fill="FFFFFF"/>
        </w:rPr>
      </w:pPr>
      <w:r>
        <w:rPr>
          <w:rFonts w:hint="eastAsia" w:ascii="方正楷体_GB2312" w:hAnsi="方正楷体_GB2312" w:eastAsia="方正楷体_GB2312" w:cs="方正楷体_GB2312"/>
          <w:b/>
          <w:bCs/>
        </w:rPr>
        <w:t>主要违法违规行为：</w:t>
      </w:r>
      <w:r>
        <w:rPr>
          <w:rFonts w:hint="eastAsia" w:ascii="Times New Roman" w:hAnsi="Times New Roman" w:eastAsia="仿宋_GB2312" w:cs="Times New Roman"/>
          <w:shd w:val="clear" w:color="auto" w:fill="FFFFFF"/>
        </w:rPr>
        <w:t>11号楼多处上返梁有裂缝和夹渣现象，多处构造柱纵向钢筋有位移现象。19号楼吊篮三级箱内接线不规范，遮挡开关操作面，吊篮控制箱保护零线未接通；个别吊篮连接部件违规使用非高强度螺栓，个别吊篮安全保护绳与屋面阳角接触部位软防护措施移位存在磨损严重情况。D3#地下车库（63-71轴/K- AA轴），模板支架立柱采用套管接长。</w:t>
      </w:r>
    </w:p>
    <w:p>
      <w:pPr>
        <w:overflowPunct w:val="0"/>
        <w:topLinePunct/>
        <w:spacing w:line="579" w:lineRule="exact"/>
        <w:ind w:firstLine="642" w:firstLineChars="200"/>
        <w:rPr>
          <w:rFonts w:ascii="楷体" w:hAnsi="楷体" w:eastAsia="楷体" w:cs="方正楷体_GB2312"/>
          <w:b/>
          <w:bCs/>
        </w:rPr>
      </w:pPr>
      <w:r>
        <w:rPr>
          <w:rFonts w:hint="eastAsia" w:ascii="楷体" w:hAnsi="楷体" w:eastAsia="楷体" w:cs="方正楷体_GB2312"/>
          <w:b/>
          <w:bCs/>
        </w:rPr>
        <w:t>3.年产20000吨二（三氯甲苯）碳酸酯及2000吨二碳酸二叔丁酯项目。</w:t>
      </w:r>
      <w:r>
        <w:rPr>
          <w:rFonts w:hint="eastAsia" w:ascii="楷体" w:hAnsi="楷体" w:eastAsia="楷体" w:cs="Times New Roman"/>
          <w:b/>
          <w:shd w:val="clear" w:color="auto" w:fill="FFFFFF"/>
        </w:rPr>
        <w:t>建设单位为本久化工（宁夏）有限公司，施工单位为宁夏垠华建设有限公司，监理单位为中元方工程咨询有限公司。</w:t>
      </w:r>
    </w:p>
    <w:p>
      <w:pPr>
        <w:overflowPunct w:val="0"/>
        <w:topLinePunct/>
        <w:spacing w:line="579" w:lineRule="exact"/>
        <w:ind w:firstLine="642" w:firstLineChars="200"/>
        <w:rPr>
          <w:rFonts w:hint="eastAsia" w:ascii="Times New Roman" w:hAnsi="Times New Roman" w:eastAsia="仿宋_GB2312" w:cs="Times New Roman"/>
          <w:shd w:val="clear" w:color="auto" w:fill="FFFFFF"/>
        </w:rPr>
      </w:pPr>
      <w:r>
        <w:rPr>
          <w:rFonts w:hint="eastAsia" w:ascii="方正楷体_GB2312" w:hAnsi="方正楷体_GB2312" w:eastAsia="方正楷体_GB2312" w:cs="方正楷体_GB2312"/>
          <w:b/>
          <w:bCs/>
        </w:rPr>
        <w:t>主要违法违规行为：</w:t>
      </w:r>
      <w:r>
        <w:rPr>
          <w:rFonts w:hint="eastAsia" w:ascii="Times New Roman" w:hAnsi="Times New Roman" w:eastAsia="仿宋_GB2312" w:cs="Times New Roman"/>
          <w:shd w:val="clear" w:color="auto" w:fill="FFFFFF"/>
        </w:rPr>
        <w:t>水暖、电气监理工程师未到岗履职；现场旁站记录不规范未明确旁站开始及结束时间。钢筋安装质量差，梁、柱箍筋间距不符合设计及规范要求，框柱机械连接接头位置不符合设计要求，接头外露丝扣超过规范限定。起重吊装方案无针对性和可操作性，未明确流动式起重车辆和大型车辆站车位置和行走路线，未对支撑面、承载力进行验算，高处作业平台施工无方案。6名特种作业人员证件不符合行业主管部门要求，架子工3人（未岗前培训），电工1人，电气焊工2人发证机关为北京中基建培职业技能鉴定中心，不符合要求，监理单位仍然审核通过。</w:t>
      </w:r>
    </w:p>
    <w:p>
      <w:pPr>
        <w:overflowPunct w:val="0"/>
        <w:topLinePunct/>
        <w:spacing w:line="579" w:lineRule="exact"/>
        <w:ind w:firstLine="642" w:firstLineChars="200"/>
        <w:rPr>
          <w:rFonts w:ascii="楷体" w:hAnsi="楷体" w:eastAsia="楷体" w:cs="方正楷体_GB2312"/>
          <w:b/>
          <w:bCs/>
        </w:rPr>
      </w:pPr>
      <w:r>
        <w:rPr>
          <w:rFonts w:hint="default" w:ascii="楷体" w:hAnsi="楷体" w:eastAsia="楷体" w:cs="方正楷体_GB2312"/>
          <w:b/>
          <w:bCs/>
          <w:lang w:val="en"/>
        </w:rPr>
        <w:t>4</w:t>
      </w:r>
      <w:r>
        <w:rPr>
          <w:rFonts w:hint="eastAsia" w:ascii="楷体" w:hAnsi="楷体" w:eastAsia="楷体" w:cs="方正楷体_GB2312"/>
          <w:b/>
          <w:bCs/>
        </w:rPr>
        <w:t>.申能吴忠热电供热扩容改造一期项目。</w:t>
      </w:r>
      <w:r>
        <w:rPr>
          <w:rFonts w:hint="eastAsia" w:ascii="楷体" w:hAnsi="楷体" w:eastAsia="楷体" w:cs="Times New Roman"/>
          <w:b/>
          <w:shd w:val="clear" w:color="auto" w:fill="FFFFFF"/>
        </w:rPr>
        <w:t>建设单位为申能吴忠热电有限责任公司，施工单位为中国电建集团河南工程有限公司，监理单位为达华集团北京中达联咨询有限公司。</w:t>
      </w:r>
    </w:p>
    <w:p>
      <w:pPr>
        <w:overflowPunct w:val="0"/>
        <w:topLinePunct/>
        <w:spacing w:line="579" w:lineRule="exact"/>
        <w:ind w:firstLine="642" w:firstLineChars="200"/>
        <w:rPr>
          <w:rFonts w:hint="eastAsia" w:ascii="Times New Roman" w:hAnsi="Times New Roman" w:eastAsia="仿宋_GB2312" w:cs="Times New Roman"/>
          <w:shd w:val="clear" w:color="auto" w:fill="FFFFFF"/>
          <w:lang w:val="en" w:eastAsia="zh-CN"/>
        </w:rPr>
      </w:pPr>
      <w:r>
        <w:rPr>
          <w:rFonts w:hint="eastAsia" w:ascii="方正楷体_GB2312" w:hAnsi="方正楷体_GB2312" w:eastAsia="方正楷体_GB2312" w:cs="方正楷体_GB2312"/>
          <w:b/>
          <w:bCs/>
        </w:rPr>
        <w:t>主要违法违规行为：</w:t>
      </w:r>
      <w:r>
        <w:rPr>
          <w:rFonts w:hint="eastAsia" w:ascii="Times New Roman" w:hAnsi="Times New Roman" w:eastAsia="仿宋_GB2312" w:cs="Times New Roman"/>
          <w:shd w:val="clear" w:color="auto" w:fill="FFFFFF"/>
        </w:rPr>
        <w:t>施工单位农民工保证金未缴纳，农民工工资专户未设立。烟囱现浇混凝土框架梁底部有箍筋外露现象。电缆沟电缆安装敷设不符合图纸设计要求。除尘器脚手架工程基础承载力和变形不满足设计要求。未在有限空间显著位置设置警示标志</w:t>
      </w:r>
      <w:r>
        <w:rPr>
          <w:rFonts w:hint="eastAsia" w:ascii="Times New Roman" w:hAnsi="Times New Roman" w:eastAsia="仿宋_GB2312" w:cs="Times New Roman"/>
          <w:shd w:val="clear" w:color="auto" w:fill="FFFFFF"/>
          <w:lang w:eastAsia="zh-CN"/>
        </w:rPr>
        <w:t>。企业负责人和项目负责人带班记录时间不符合要求，不符合住建部《建筑施工企业负责人及项目负责人施工现场带班暂行办法》。未编制动火作业专项方案，有限空间作业专项方案未审批。施工临时用电私拉乱接现象严重，专职电工不在场履职，三级箱与用电设备距离远大于3m,二级箱与三级箱的距离大于30m，配电电缆沿地面、脚手架、钢结构明敷未采取保护措施，引风机房临时照明线使用BV线绑扎在钢门上无保护措施。除尘器工作平台为网格结构，层间交叉做作业无防护措施。</w:t>
      </w:r>
    </w:p>
    <w:p>
      <w:pPr>
        <w:pStyle w:val="2"/>
      </w:pPr>
    </w:p>
    <w:p>
      <w:pPr>
        <w:spacing w:line="579"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0000000000000000000"/>
    <w:charset w:val="86"/>
    <w:family w:val="auto"/>
    <w:pitch w:val="default"/>
    <w:sig w:usb0="00000000" w:usb1="00000000" w:usb2="00000012"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楷体_GB2312">
    <w:altName w:val="楷体"/>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2D"/>
    <w:rsid w:val="00114590"/>
    <w:rsid w:val="006D57E4"/>
    <w:rsid w:val="00C53A2D"/>
    <w:rsid w:val="3FEBB660"/>
    <w:rsid w:val="A6B4CCC8"/>
    <w:rsid w:val="FBFEC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2312" w:hAnsi="方正仿宋_GB2312" w:eastAsia="方正仿宋_GB2312" w:cstheme="minorBidi"/>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eastAsia="宋体" w:asciiTheme="majorHAnsi" w:hAnsiTheme="majorHAnsi" w:cstheme="majorBidi"/>
      <w:b/>
      <w:bCs/>
    </w:rPr>
  </w:style>
  <w:style w:type="character" w:customStyle="1" w:styleId="5">
    <w:name w:val="标题 Char"/>
    <w:basedOn w:val="4"/>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134</Words>
  <Characters>764</Characters>
  <Lines>6</Lines>
  <Paragraphs>1</Paragraphs>
  <TotalTime>7</TotalTime>
  <ScaleCrop>false</ScaleCrop>
  <LinksUpToDate>false</LinksUpToDate>
  <CharactersWithSpaces>897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2025-06-18T05:46:00Z</dcterms:created>
  <dc:creator>Windows 用户</dc:creator>
  <cp:lastModifiedBy>wzs</cp:lastModifiedBy>
  <dcterms:modified xsi:type="dcterms:W3CDTF">2025-06-18T17:20:04Z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